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94F" w:rsidRDefault="0087694F" w:rsidP="0087694F">
      <w:pPr>
        <w:pStyle w:val="BasicParagraph"/>
        <w:suppressAutoHyphens/>
        <w:spacing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IMAGES CAPTIONS</w:t>
      </w:r>
    </w:p>
    <w:p w:rsidR="0087694F" w:rsidRDefault="0087694F" w:rsidP="0087694F">
      <w:pPr>
        <w:pStyle w:val="BasicParagraph"/>
        <w:suppressAutoHyphens/>
        <w:spacing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RONALD O. PERELMAN PERFORMING ARTS CENTER AT THE WORLD TRADE CENTER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sz w:val="20"/>
          <w:szCs w:val="20"/>
        </w:rPr>
      </w:pPr>
    </w:p>
    <w:p w:rsidR="0087694F" w:rsidRDefault="0087694F" w:rsidP="0087694F">
      <w:pPr>
        <w:rPr>
          <w:rFonts w:ascii="Arial" w:hAnsi="Arial" w:cs="Arial"/>
          <w:b/>
          <w:bCs/>
          <w:color w:val="FF0000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>7 STONE-GLASS WITH CHILD RENDER © LUXIGON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Daylight illuminates the interior through the marble façade.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b/>
          <w:bCs/>
          <w:color w:val="FF0000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>10 INTERIOR RENDER AT PLAY LEVEL © LUXIGON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i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…its muscular, utilitarian interior expresses the workhorse quality necessary for the changing nature of The Perelman Center’s artistic needs</w:t>
      </w:r>
      <w:r>
        <w:rPr>
          <w:rFonts w:ascii="Arial" w:hAnsi="Arial" w:cs="Arial"/>
          <w:iCs/>
          <w:color w:val="000000"/>
          <w:sz w:val="20"/>
          <w:szCs w:val="20"/>
        </w:rPr>
        <w:t xml:space="preserve">. </w:t>
      </w:r>
      <w:r>
        <w:rPr>
          <w:rFonts w:ascii="Arial" w:hAnsi="Arial" w:cs="Arial"/>
          <w:color w:val="000000"/>
          <w:sz w:val="20"/>
          <w:szCs w:val="20"/>
        </w:rPr>
        <w:t>Steel walls, concrete trusses, wood floors, perforated plywood panels, and other ruggedly beautiful materials encourage the frequent transformation of scenery, stage-audience configurations, and even the restaurant/bar and lobby.</w:t>
      </w:r>
      <w:r>
        <w:rPr>
          <w:rFonts w:ascii="Arial" w:hAnsi="Arial" w:cs="Arial"/>
          <w:b/>
          <w:bCs/>
          <w:color w:val="00B05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The building’s material duality—elegant exterior and robust interior—…</w:t>
      </w:r>
    </w:p>
    <w:p w:rsidR="0087694F" w:rsidRDefault="0087694F" w:rsidP="0087694F">
      <w:pPr>
        <w:pStyle w:val="BasicParagraph"/>
        <w:suppressAutoHyphens/>
        <w:spacing w:line="240" w:lineRule="auto"/>
        <w:rPr>
          <w:rFonts w:ascii="Arial" w:hAnsi="Arial" w:cs="Arial"/>
          <w:i/>
          <w:sz w:val="20"/>
          <w:szCs w:val="20"/>
        </w:rPr>
      </w:pP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b/>
          <w:bCs/>
          <w:color w:val="FF0000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>28 REHEARSAL ROOM RENDER © LUXIGON</w:t>
      </w:r>
    </w:p>
    <w:p w:rsidR="0087694F" w:rsidRDefault="0087694F" w:rsidP="0087694F">
      <w:pPr>
        <w:pStyle w:val="BasicParagraph"/>
        <w:suppressAutoHyphens/>
        <w:spacing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Rehearsal room with integrated black-out blinds lifted to provide natural light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center"/>
        <w:rPr>
          <w:rFonts w:ascii="Arial" w:hAnsi="Arial" w:cs="Arial"/>
          <w:sz w:val="20"/>
          <w:szCs w:val="20"/>
        </w:rPr>
      </w:pP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b/>
          <w:bCs/>
          <w:color w:val="FF0000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>34 PLAY LEVEL RENDER: PATRONS INTO AUDITORIUM © LUXIGON</w:t>
      </w:r>
    </w:p>
    <w:p w:rsidR="0087694F" w:rsidRDefault="0087694F" w:rsidP="0087694F">
      <w:pPr>
        <w:pStyle w:val="BasicParagraph"/>
        <w:suppressAutoHyphens/>
        <w:spacing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Closed acoustic door, closed baffle, and open sound &amp; light lock direct patrons into an auditorium.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b/>
          <w:bCs/>
          <w:color w:val="FF0000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>35 PLAY LEVEL RENDER: PATRONS AROUND AUDITORIUM © LUXIGON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Closed acoustic door, open baffle, and closed sound &amp; light lock guide patrons around an auditorium.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b/>
          <w:bCs/>
          <w:color w:val="FF0000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>36 PLAY LEVEL RENDER: ZONE FOR PERFORMERS © LUXIGON</w:t>
      </w:r>
    </w:p>
    <w:p w:rsidR="0087694F" w:rsidRDefault="0087694F" w:rsidP="00295E0C">
      <w:pPr>
        <w:suppressAutoHyphens/>
        <w:autoSpaceDE w:val="0"/>
        <w:autoSpaceDN w:val="0"/>
        <w:adjustRightInd w:val="0"/>
        <w:spacing w:after="0"/>
        <w:contextualSpacing/>
        <w:textAlignment w:val="center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Open acoustic door, open baffle, and several open sound &amp; light locks define zone solely for performers’ entry, preparation, and circulation.</w:t>
      </w:r>
    </w:p>
    <w:p w:rsidR="00295E0C" w:rsidRPr="00295E0C" w:rsidRDefault="00295E0C" w:rsidP="00295E0C">
      <w:pPr>
        <w:suppressAutoHyphens/>
        <w:autoSpaceDE w:val="0"/>
        <w:autoSpaceDN w:val="0"/>
        <w:adjustRightInd w:val="0"/>
        <w:spacing w:after="0"/>
        <w:contextualSpacing/>
        <w:textAlignment w:val="center"/>
        <w:rPr>
          <w:rFonts w:ascii="Arial" w:hAnsi="Arial" w:cs="Arial"/>
          <w:i/>
          <w:color w:val="000000"/>
          <w:sz w:val="20"/>
          <w:szCs w:val="20"/>
        </w:rPr>
      </w:pP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b/>
          <w:bCs/>
          <w:color w:val="FF0000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>37 PLAY LEVEL RENDER: PERIMETER AS INTERMISSION SPACE © LUXIGON</w:t>
      </w:r>
    </w:p>
    <w:p w:rsidR="0087694F" w:rsidRDefault="0087694F" w:rsidP="0087694F">
      <w:pPr>
        <w:pStyle w:val="BasicParagraph"/>
        <w:suppressAutoHyphens/>
        <w:spacing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Four open acoustic doors, open baffle, and open sound &amp; light lock define auditorium perimeter as an intermission space.</w:t>
      </w:r>
    </w:p>
    <w:p w:rsidR="00295E0C" w:rsidRDefault="00295E0C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b/>
          <w:bCs/>
          <w:color w:val="FF0000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>38 PLAY LEVEL RENDER: ANTE-CHAMBER © LUXIGON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Open acoustic door, closed baffle, and several open sound &amp; light locks create ante-chamber for suspension of disbelief.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b/>
          <w:bCs/>
          <w:color w:val="FF0000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>39 PLAY LEVEL RENDER: MERGED STAGE AND PUBLIC © LUXIGON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center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Open acoustic door, closed baffle, and closed sound &amp; light lock merge stage and public areas.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b/>
          <w:bCs/>
          <w:color w:val="FF0000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>45 PLAY LEVEL RENDER: 250-PERSON + 99 PERSON IN FLAT-FLOOR © LUXIGON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250-person auditorium combined with scene dock and 99-person auditorium / flat-floor configuration / immersive art show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b/>
          <w:bCs/>
          <w:color w:val="FF0000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>49 PERFORMER LEVEL RENDER: DRESSING ROOM © REX</w:t>
      </w:r>
    </w:p>
    <w:p w:rsidR="0087694F" w:rsidRDefault="0087694F" w:rsidP="0087694F">
      <w:pPr>
        <w:spacing w:after="0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Unlike most performance venues which place performer and other back-of-house areas below grade, artists are at the core of The Perelman </w:t>
      </w:r>
      <w:r>
        <w:rPr>
          <w:rFonts w:ascii="Arial" w:hAnsi="Arial" w:cs="Arial"/>
          <w:color w:val="000000"/>
          <w:sz w:val="20"/>
          <w:szCs w:val="20"/>
        </w:rPr>
        <w:t>Center</w:t>
      </w:r>
      <w:r>
        <w:rPr>
          <w:rFonts w:ascii="Arial" w:hAnsi="Arial" w:cs="Arial"/>
          <w:noProof/>
          <w:sz w:val="20"/>
          <w:szCs w:val="20"/>
        </w:rPr>
        <w:t xml:space="preserve">, with generous accommodations and daylight filtered through the ‘stone-glass’ façade. 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b/>
          <w:bCs/>
          <w:color w:val="FF0000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>51 LOBBY LEVEL RENDER: RESTAURANT © LUXIGON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Restaurant/bar in daytime configuration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87694F" w:rsidRDefault="0087694F" w:rsidP="0087694F">
      <w:pPr>
        <w:rPr>
          <w:rFonts w:ascii="Arial" w:hAnsi="Arial" w:cs="Arial"/>
          <w:b/>
          <w:bCs/>
          <w:color w:val="FF0000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>52 LOBBY LEVEL RENDER: INTERMISSION © LUXIGON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Restaurant/bar in performance intermission configuration with exterior terrace in background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b/>
          <w:bCs/>
          <w:color w:val="FF0000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>53 LOBBY LEVEL RENDER: CABARET © LUXIGON</w:t>
      </w:r>
    </w:p>
    <w:p w:rsidR="008049F8" w:rsidRPr="00295E0C" w:rsidRDefault="0087694F" w:rsidP="00295E0C">
      <w:pPr>
        <w:suppressAutoHyphens/>
        <w:autoSpaceDE w:val="0"/>
        <w:autoSpaceDN w:val="0"/>
        <w:adjustRightInd w:val="0"/>
        <w:spacing w:after="0"/>
        <w:contextualSpacing/>
        <w:textAlignment w:val="center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Restaurant/bar in</w:t>
      </w:r>
      <w:r w:rsidR="00295E0C">
        <w:rPr>
          <w:rFonts w:ascii="Arial" w:hAnsi="Arial" w:cs="Arial"/>
          <w:i/>
          <w:iCs/>
          <w:color w:val="000000"/>
          <w:sz w:val="20"/>
          <w:szCs w:val="20"/>
        </w:rPr>
        <w:t xml:space="preserve"> community cabaret configuration</w:t>
      </w:r>
      <w:bookmarkStart w:id="0" w:name="_GoBack"/>
      <w:bookmarkEnd w:id="0"/>
    </w:p>
    <w:sectPr w:rsidR="008049F8" w:rsidRPr="00295E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3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94F"/>
    <w:rsid w:val="00295E0C"/>
    <w:rsid w:val="005F5FC5"/>
    <w:rsid w:val="0087694F"/>
    <w:rsid w:val="00E1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6E075"/>
  <w15:chartTrackingRefBased/>
  <w15:docId w15:val="{05E32B8E-566D-4ECA-9F1D-65F4D3020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7694F"/>
    <w:pPr>
      <w:spacing w:after="200" w:line="240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87694F"/>
    <w:pPr>
      <w:autoSpaceDE w:val="0"/>
      <w:autoSpaceDN w:val="0"/>
      <w:adjustRightInd w:val="0"/>
      <w:spacing w:after="0" w:line="288" w:lineRule="auto"/>
    </w:pPr>
    <w:rPr>
      <w:rFonts w:ascii="Times New Roman" w:hAnsi="Times New Roman" w:cs="Times New Roman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1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Brown</dc:creator>
  <cp:keywords/>
  <dc:description/>
  <cp:lastModifiedBy>Justin Brown</cp:lastModifiedBy>
  <cp:revision>2</cp:revision>
  <dcterms:created xsi:type="dcterms:W3CDTF">2016-09-08T15:32:00Z</dcterms:created>
  <dcterms:modified xsi:type="dcterms:W3CDTF">2016-09-08T15:38:00Z</dcterms:modified>
</cp:coreProperties>
</file>